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C" w14:textId="77777777" w:rsidR="00CE6205" w:rsidRDefault="00D827A0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Understanding Outcomes for Evaluation </w:t>
      </w:r>
    </w:p>
    <w:p w14:paraId="0000001D" w14:textId="77777777" w:rsidR="00CE6205" w:rsidRDefault="00CE6205">
      <w:pPr>
        <w:spacing w:line="240" w:lineRule="auto"/>
        <w:rPr>
          <w:sz w:val="28"/>
          <w:szCs w:val="28"/>
        </w:rPr>
      </w:pPr>
    </w:p>
    <w:tbl>
      <w:tblPr>
        <w:tblStyle w:val="a"/>
        <w:tblW w:w="131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6"/>
        <w:gridCol w:w="2672"/>
        <w:gridCol w:w="2790"/>
        <w:gridCol w:w="2880"/>
        <w:gridCol w:w="2340"/>
      </w:tblGrid>
      <w:tr w:rsidR="00CE6205" w14:paraId="4FC5DE95" w14:textId="77777777">
        <w:trPr>
          <w:trHeight w:val="530"/>
        </w:trPr>
        <w:tc>
          <w:tcPr>
            <w:tcW w:w="2476" w:type="dxa"/>
            <w:shd w:val="clear" w:color="auto" w:fill="F9CEC3"/>
            <w:vAlign w:val="center"/>
          </w:tcPr>
          <w:p w14:paraId="0000001E" w14:textId="77777777" w:rsidR="00CE6205" w:rsidRDefault="00D82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Outcomes</w:t>
            </w:r>
          </w:p>
        </w:tc>
        <w:tc>
          <w:tcPr>
            <w:tcW w:w="2672" w:type="dxa"/>
            <w:shd w:val="clear" w:color="auto" w:fill="F9CEC3"/>
            <w:vAlign w:val="center"/>
          </w:tcPr>
          <w:p w14:paraId="0000001F" w14:textId="77777777" w:rsidR="00CE6205" w:rsidRDefault="00D82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Change</w:t>
            </w:r>
          </w:p>
        </w:tc>
        <w:tc>
          <w:tcPr>
            <w:tcW w:w="2790" w:type="dxa"/>
            <w:shd w:val="clear" w:color="auto" w:fill="F9CEC3"/>
            <w:vAlign w:val="center"/>
          </w:tcPr>
          <w:p w14:paraId="00000020" w14:textId="77777777" w:rsidR="00CE6205" w:rsidRDefault="00D82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Source</w:t>
            </w:r>
          </w:p>
        </w:tc>
        <w:tc>
          <w:tcPr>
            <w:tcW w:w="2880" w:type="dxa"/>
            <w:shd w:val="clear" w:color="auto" w:fill="F9CEC3"/>
            <w:vAlign w:val="center"/>
          </w:tcPr>
          <w:p w14:paraId="00000021" w14:textId="77777777" w:rsidR="00CE6205" w:rsidRDefault="00D82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 Metrics </w:t>
            </w:r>
          </w:p>
        </w:tc>
        <w:tc>
          <w:tcPr>
            <w:tcW w:w="2340" w:type="dxa"/>
            <w:shd w:val="clear" w:color="auto" w:fill="F9CEC3"/>
            <w:vAlign w:val="center"/>
          </w:tcPr>
          <w:p w14:paraId="00000022" w14:textId="77777777" w:rsidR="00CE6205" w:rsidRDefault="00D82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Engaging Constituents</w:t>
            </w:r>
          </w:p>
        </w:tc>
      </w:tr>
      <w:tr w:rsidR="00CE6205" w14:paraId="74F8CAC0" w14:textId="77777777">
        <w:trPr>
          <w:trHeight w:val="115"/>
        </w:trPr>
        <w:tc>
          <w:tcPr>
            <w:tcW w:w="2476" w:type="dxa"/>
          </w:tcPr>
          <w:p w14:paraId="00000023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Please list your expected outcomes in this column. These will often be described in your program logic model or theory of change</w:t>
            </w:r>
          </w:p>
        </w:tc>
        <w:tc>
          <w:tcPr>
            <w:tcW w:w="2672" w:type="dxa"/>
          </w:tcPr>
          <w:p w14:paraId="00000024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outcome, list the sign</w:t>
            </w:r>
            <w:r>
              <w:rPr>
                <w:sz w:val="20"/>
                <w:szCs w:val="20"/>
              </w:rPr>
              <w:t>s that changes are happening.   How do you know that what you are doing is making a difference?</w:t>
            </w:r>
          </w:p>
        </w:tc>
        <w:tc>
          <w:tcPr>
            <w:tcW w:w="2790" w:type="dxa"/>
          </w:tcPr>
          <w:p w14:paraId="00000025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each indicator, where </w:t>
            </w:r>
            <w:proofErr w:type="gramStart"/>
            <w:r>
              <w:rPr>
                <w:sz w:val="20"/>
                <w:szCs w:val="20"/>
              </w:rPr>
              <w:t>will  the</w:t>
            </w:r>
            <w:proofErr w:type="gramEnd"/>
            <w:r>
              <w:rPr>
                <w:sz w:val="20"/>
                <w:szCs w:val="20"/>
              </w:rPr>
              <w:t xml:space="preserve"> information come from? Will you get your information </w:t>
            </w:r>
            <w:proofErr w:type="gramStart"/>
            <w:r>
              <w:rPr>
                <w:sz w:val="20"/>
                <w:szCs w:val="20"/>
              </w:rPr>
              <w:t>from  surveys</w:t>
            </w:r>
            <w:proofErr w:type="gramEnd"/>
            <w:r>
              <w:rPr>
                <w:sz w:val="20"/>
                <w:szCs w:val="20"/>
              </w:rPr>
              <w:t>, exit interviews, intake forms, etc. Also consider from w</w:t>
            </w:r>
            <w:r>
              <w:rPr>
                <w:sz w:val="20"/>
                <w:szCs w:val="20"/>
              </w:rPr>
              <w:t>hom this data will come from (e.g., mother, advocate, etc.)</w:t>
            </w:r>
          </w:p>
          <w:p w14:paraId="00000026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0000027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what measures you will use. These can range from standardized measures to questions from your own survey or interview/focus group guides to other key metrics (e.g. % of survivors feel safe).</w:t>
            </w:r>
            <w:r>
              <w:rPr>
                <w:sz w:val="20"/>
                <w:szCs w:val="20"/>
              </w:rPr>
              <w:t xml:space="preserve"> </w:t>
            </w:r>
          </w:p>
          <w:p w14:paraId="00000028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29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find out from key program constituents if you are capturing the most accurate information and in the best ways for them.</w:t>
            </w:r>
          </w:p>
        </w:tc>
      </w:tr>
      <w:tr w:rsidR="00CE6205" w14:paraId="078712AD" w14:textId="77777777">
        <w:trPr>
          <w:trHeight w:val="996"/>
        </w:trPr>
        <w:tc>
          <w:tcPr>
            <w:tcW w:w="2476" w:type="dxa"/>
            <w:shd w:val="clear" w:color="auto" w:fill="ECE6DB"/>
          </w:tcPr>
          <w:p w14:paraId="0000002A" w14:textId="77777777" w:rsidR="00CE6205" w:rsidRDefault="00D827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Outcome 1:</w:t>
            </w:r>
          </w:p>
          <w:p w14:paraId="0000002B" w14:textId="77777777" w:rsidR="00CE6205" w:rsidRDefault="00CE6205">
            <w:pPr>
              <w:rPr>
                <w:b/>
                <w:color w:val="000000"/>
                <w:sz w:val="20"/>
                <w:szCs w:val="20"/>
              </w:rPr>
            </w:pPr>
          </w:p>
          <w:p w14:paraId="0000002C" w14:textId="77777777" w:rsidR="00CE6205" w:rsidRDefault="00CE6205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ECE6DB"/>
          </w:tcPr>
          <w:p w14:paraId="0000002D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2E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CE6DB"/>
          </w:tcPr>
          <w:p w14:paraId="0000002F" w14:textId="77777777" w:rsidR="00CE6205" w:rsidRDefault="00CE6205">
            <w:pPr>
              <w:rPr>
                <w:sz w:val="20"/>
                <w:szCs w:val="20"/>
              </w:rPr>
            </w:pPr>
          </w:p>
          <w:p w14:paraId="00000030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CE6DB"/>
          </w:tcPr>
          <w:p w14:paraId="00000031" w14:textId="77777777" w:rsidR="00CE6205" w:rsidRDefault="00D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ECE6DB"/>
          </w:tcPr>
          <w:p w14:paraId="00000032" w14:textId="77777777" w:rsidR="00CE6205" w:rsidRDefault="00CE6205">
            <w:pPr>
              <w:rPr>
                <w:sz w:val="20"/>
                <w:szCs w:val="20"/>
              </w:rPr>
            </w:pPr>
          </w:p>
        </w:tc>
      </w:tr>
      <w:tr w:rsidR="00CE6205" w14:paraId="63E4321D" w14:textId="77777777">
        <w:trPr>
          <w:trHeight w:val="996"/>
        </w:trPr>
        <w:tc>
          <w:tcPr>
            <w:tcW w:w="2476" w:type="dxa"/>
            <w:shd w:val="clear" w:color="auto" w:fill="auto"/>
          </w:tcPr>
          <w:p w14:paraId="00000033" w14:textId="77777777" w:rsidR="00CE6205" w:rsidRDefault="00D827A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Outcome 2: </w:t>
            </w:r>
          </w:p>
        </w:tc>
        <w:tc>
          <w:tcPr>
            <w:tcW w:w="2672" w:type="dxa"/>
            <w:shd w:val="clear" w:color="auto" w:fill="auto"/>
          </w:tcPr>
          <w:p w14:paraId="00000034" w14:textId="77777777" w:rsidR="00CE6205" w:rsidRDefault="00CE6205">
            <w:pPr>
              <w:rPr>
                <w:sz w:val="20"/>
                <w:szCs w:val="20"/>
              </w:rPr>
            </w:pPr>
          </w:p>
          <w:p w14:paraId="00000035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0000036" w14:textId="77777777" w:rsidR="00CE6205" w:rsidRDefault="00CE6205">
            <w:pPr>
              <w:rPr>
                <w:sz w:val="20"/>
                <w:szCs w:val="20"/>
              </w:rPr>
            </w:pPr>
          </w:p>
          <w:p w14:paraId="00000037" w14:textId="77777777" w:rsidR="00CE6205" w:rsidRDefault="00CE6205">
            <w:pPr>
              <w:rPr>
                <w:sz w:val="20"/>
                <w:szCs w:val="20"/>
              </w:rPr>
            </w:pPr>
          </w:p>
          <w:p w14:paraId="00000038" w14:textId="77777777" w:rsidR="00CE6205" w:rsidRDefault="00CE6205">
            <w:pPr>
              <w:rPr>
                <w:sz w:val="20"/>
                <w:szCs w:val="20"/>
              </w:rPr>
            </w:pPr>
          </w:p>
          <w:p w14:paraId="00000039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000003A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3B" w14:textId="77777777" w:rsidR="00CE6205" w:rsidRDefault="00CE6205">
            <w:pPr>
              <w:rPr>
                <w:sz w:val="20"/>
                <w:szCs w:val="20"/>
              </w:rPr>
            </w:pPr>
          </w:p>
        </w:tc>
      </w:tr>
      <w:tr w:rsidR="00CE6205" w14:paraId="44637660" w14:textId="77777777">
        <w:trPr>
          <w:trHeight w:val="996"/>
        </w:trPr>
        <w:tc>
          <w:tcPr>
            <w:tcW w:w="2476" w:type="dxa"/>
            <w:shd w:val="clear" w:color="auto" w:fill="ECE6DB"/>
          </w:tcPr>
          <w:p w14:paraId="0000003C" w14:textId="77777777" w:rsidR="00CE6205" w:rsidRDefault="00D82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3: </w:t>
            </w:r>
          </w:p>
          <w:p w14:paraId="0000003D" w14:textId="77777777" w:rsidR="00CE6205" w:rsidRDefault="00CE6205">
            <w:pPr>
              <w:rPr>
                <w:b/>
                <w:sz w:val="20"/>
                <w:szCs w:val="20"/>
              </w:rPr>
            </w:pPr>
          </w:p>
          <w:p w14:paraId="0000003E" w14:textId="77777777" w:rsidR="00CE6205" w:rsidRDefault="00CE6205">
            <w:pPr>
              <w:rPr>
                <w:b/>
                <w:color w:val="000000"/>
                <w:sz w:val="20"/>
                <w:szCs w:val="20"/>
              </w:rPr>
            </w:pPr>
          </w:p>
          <w:p w14:paraId="0000003F" w14:textId="77777777" w:rsidR="00CE6205" w:rsidRDefault="00CE62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ECE6DB"/>
          </w:tcPr>
          <w:p w14:paraId="00000040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CE6DB"/>
          </w:tcPr>
          <w:p w14:paraId="00000041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CE6DB"/>
          </w:tcPr>
          <w:p w14:paraId="00000042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CE6DB"/>
          </w:tcPr>
          <w:p w14:paraId="00000043" w14:textId="77777777" w:rsidR="00CE6205" w:rsidRDefault="00CE6205">
            <w:pPr>
              <w:rPr>
                <w:sz w:val="20"/>
                <w:szCs w:val="20"/>
              </w:rPr>
            </w:pPr>
          </w:p>
        </w:tc>
      </w:tr>
      <w:tr w:rsidR="00CE6205" w14:paraId="36C113AC" w14:textId="77777777">
        <w:trPr>
          <w:trHeight w:val="996"/>
        </w:trPr>
        <w:tc>
          <w:tcPr>
            <w:tcW w:w="2476" w:type="dxa"/>
            <w:shd w:val="clear" w:color="auto" w:fill="FFFFFF"/>
          </w:tcPr>
          <w:p w14:paraId="00000044" w14:textId="77777777" w:rsidR="00CE6205" w:rsidRDefault="00D82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4:</w:t>
            </w:r>
          </w:p>
          <w:p w14:paraId="00000045" w14:textId="77777777" w:rsidR="00CE6205" w:rsidRDefault="00CE6205">
            <w:pPr>
              <w:rPr>
                <w:b/>
                <w:sz w:val="20"/>
                <w:szCs w:val="20"/>
              </w:rPr>
            </w:pPr>
          </w:p>
          <w:p w14:paraId="00000046" w14:textId="77777777" w:rsidR="00CE6205" w:rsidRDefault="00CE6205">
            <w:pPr>
              <w:rPr>
                <w:b/>
                <w:sz w:val="20"/>
                <w:szCs w:val="20"/>
              </w:rPr>
            </w:pPr>
          </w:p>
          <w:p w14:paraId="00000047" w14:textId="77777777" w:rsidR="00CE6205" w:rsidRDefault="00CE6205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14:paraId="00000048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0000049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14:paraId="0000004A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000004B" w14:textId="77777777" w:rsidR="00CE6205" w:rsidRDefault="00CE6205">
            <w:pPr>
              <w:rPr>
                <w:sz w:val="20"/>
                <w:szCs w:val="20"/>
              </w:rPr>
            </w:pPr>
          </w:p>
        </w:tc>
      </w:tr>
      <w:tr w:rsidR="00CE6205" w14:paraId="281C7C50" w14:textId="77777777">
        <w:trPr>
          <w:trHeight w:val="996"/>
        </w:trPr>
        <w:tc>
          <w:tcPr>
            <w:tcW w:w="2476" w:type="dxa"/>
            <w:shd w:val="clear" w:color="auto" w:fill="ECE6DB"/>
          </w:tcPr>
          <w:p w14:paraId="0000004C" w14:textId="77777777" w:rsidR="00CE6205" w:rsidRDefault="00D82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5:</w:t>
            </w:r>
          </w:p>
          <w:p w14:paraId="0000004D" w14:textId="77777777" w:rsidR="00CE6205" w:rsidRDefault="00CE6205">
            <w:pPr>
              <w:rPr>
                <w:b/>
                <w:sz w:val="20"/>
                <w:szCs w:val="20"/>
              </w:rPr>
            </w:pPr>
          </w:p>
          <w:p w14:paraId="0000004E" w14:textId="77777777" w:rsidR="00CE6205" w:rsidRDefault="00CE6205">
            <w:pPr>
              <w:rPr>
                <w:b/>
                <w:sz w:val="20"/>
                <w:szCs w:val="20"/>
              </w:rPr>
            </w:pPr>
          </w:p>
          <w:p w14:paraId="0000004F" w14:textId="77777777" w:rsidR="00CE6205" w:rsidRDefault="00CE6205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ECE6DB"/>
          </w:tcPr>
          <w:p w14:paraId="00000050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CE6DB"/>
          </w:tcPr>
          <w:p w14:paraId="00000051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CE6DB"/>
          </w:tcPr>
          <w:p w14:paraId="00000052" w14:textId="77777777" w:rsidR="00CE6205" w:rsidRDefault="00CE62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CE6DB"/>
          </w:tcPr>
          <w:p w14:paraId="00000053" w14:textId="77777777" w:rsidR="00CE6205" w:rsidRDefault="00CE6205">
            <w:pPr>
              <w:rPr>
                <w:sz w:val="20"/>
                <w:szCs w:val="20"/>
              </w:rPr>
            </w:pPr>
          </w:p>
        </w:tc>
      </w:tr>
    </w:tbl>
    <w:p w14:paraId="00000054" w14:textId="77777777" w:rsidR="00CE6205" w:rsidRDefault="00CE6205"/>
    <w:sectPr w:rsidR="00CE620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usten">
    <w:altName w:val="Calibri"/>
    <w:charset w:val="00"/>
    <w:family w:val="auto"/>
    <w:pitch w:val="default"/>
  </w:font>
  <w:font w:name="Syabi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05E8"/>
    <w:multiLevelType w:val="multilevel"/>
    <w:tmpl w:val="71A66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867E21"/>
    <w:multiLevelType w:val="multilevel"/>
    <w:tmpl w:val="3774A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4E3B8F"/>
    <w:multiLevelType w:val="multilevel"/>
    <w:tmpl w:val="48345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05"/>
    <w:rsid w:val="00CE6205"/>
    <w:rsid w:val="00D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AA69"/>
  <w15:docId w15:val="{31720574-3C26-4564-96C4-66F3FFC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usten" w:eastAsia="Causten" w:hAnsi="Causten" w:cs="Causte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D17"/>
  </w:style>
  <w:style w:type="paragraph" w:styleId="Heading1">
    <w:name w:val="heading 1"/>
    <w:basedOn w:val="Normal"/>
    <w:next w:val="Normal"/>
    <w:link w:val="Heading1Char"/>
    <w:uiPriority w:val="9"/>
    <w:qFormat/>
    <w:rsid w:val="00470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D17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D1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D17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D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D1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D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0D1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ormalWeb">
    <w:name w:val="Normal (Web)"/>
    <w:basedOn w:val="Normal"/>
    <w:uiPriority w:val="99"/>
    <w:unhideWhenUsed/>
    <w:rsid w:val="007A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D17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00680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470D1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70D1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D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D1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D1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D17"/>
  </w:style>
  <w:style w:type="character" w:customStyle="1" w:styleId="Heading7Char">
    <w:name w:val="Heading 7 Char"/>
    <w:basedOn w:val="DefaultParagraphFont"/>
    <w:link w:val="Heading7"/>
    <w:uiPriority w:val="9"/>
    <w:semiHidden/>
    <w:rsid w:val="00470D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D1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D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17"/>
    <w:pPr>
      <w:spacing w:after="200" w:line="240" w:lineRule="auto"/>
    </w:pPr>
    <w:rPr>
      <w:i/>
      <w:iCs/>
      <w:color w:val="766F54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470D17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70D17"/>
    <w:rPr>
      <w:i/>
      <w:iCs/>
      <w:color w:val="auto"/>
    </w:rPr>
  </w:style>
  <w:style w:type="paragraph" w:styleId="NoSpacing">
    <w:name w:val="No Spacing"/>
    <w:uiPriority w:val="1"/>
    <w:qFormat/>
    <w:rsid w:val="00470D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0D1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70D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70D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70D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70D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70D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1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A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F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6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6B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15D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PF">
      <a:majorFont>
        <a:latin typeface="Syabil"/>
        <a:ea typeface=""/>
        <a:cs typeface=""/>
      </a:majorFont>
      <a:minorFont>
        <a:latin typeface="Causten"/>
        <a:ea typeface=""/>
        <a:cs typeface="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05B9FHiBbbchzJX7l7nfiI1JQ==">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Rodriguez</dc:creator>
  <cp:lastModifiedBy>Marielle Byhouwer</cp:lastModifiedBy>
  <cp:revision>2</cp:revision>
  <dcterms:created xsi:type="dcterms:W3CDTF">2023-01-09T20:31:00Z</dcterms:created>
  <dcterms:modified xsi:type="dcterms:W3CDTF">2023-01-09T20:31:00Z</dcterms:modified>
</cp:coreProperties>
</file>